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44E9DAF7">
        <w:tc>
          <w:tcPr>
            <w:tcW w:w="10349" w:type="dxa"/>
          </w:tcPr>
          <w:p w14:paraId="1CC374BC" w14:textId="014F54F8" w:rsidR="00860FA2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EF21C6" w:rsidRPr="00EF21C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High Needs</w:t>
            </w:r>
            <w:r w:rsidR="00EF21C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FF03E4">
              <w:rPr>
                <w:rFonts w:ascii="Arial" w:hAnsi="Arial" w:cs="Arial"/>
                <w:sz w:val="20"/>
                <w:szCs w:val="20"/>
              </w:rPr>
              <w:t>Funding Lead</w:t>
            </w:r>
          </w:p>
          <w:p w14:paraId="520A559A" w14:textId="3DEA6130" w:rsidR="00FF03E4" w:rsidRPr="001A1EB0" w:rsidRDefault="00FF03E4" w:rsidP="7A11608D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B3A81">
              <w:rPr>
                <w:rFonts w:ascii="Arial" w:hAnsi="Arial" w:cs="Arial"/>
                <w:b/>
                <w:bCs/>
                <w:sz w:val="20"/>
                <w:szCs w:val="20"/>
              </w:rPr>
              <w:t>Reports to:</w:t>
            </w:r>
            <w:r w:rsidRPr="7A11608D">
              <w:rPr>
                <w:rFonts w:ascii="Arial" w:hAnsi="Arial" w:cs="Arial"/>
                <w:sz w:val="20"/>
                <w:szCs w:val="20"/>
              </w:rPr>
              <w:t xml:space="preserve"> Head of SEND</w:t>
            </w:r>
            <w:r w:rsidR="00BB3A8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61E79423" w:rsidRPr="7A11608D">
              <w:rPr>
                <w:rFonts w:ascii="Arial" w:hAnsi="Arial" w:cs="Arial"/>
                <w:sz w:val="20"/>
                <w:szCs w:val="20"/>
              </w:rPr>
              <w:t>Learning Support</w:t>
            </w:r>
          </w:p>
          <w:p w14:paraId="11621935" w14:textId="3E52F740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BB3A8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Roundhouse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44E9DAF7">
        <w:tc>
          <w:tcPr>
            <w:tcW w:w="10349" w:type="dxa"/>
          </w:tcPr>
          <w:p w14:paraId="537D9888" w14:textId="7E9EE16C" w:rsidR="00860FA2" w:rsidRPr="00AA275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A275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AA275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AA275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 per week, 52 weeks a year</w:t>
            </w:r>
            <w:r w:rsidR="001E423B" w:rsidRPr="00AA275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45188C1" w14:textId="14668343" w:rsidR="00860FA2" w:rsidRPr="00AA2752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A275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AA27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622CF7" w:rsidRPr="00AA27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Support</w:t>
            </w:r>
          </w:p>
          <w:p w14:paraId="36FD0362" w14:textId="23E538BA" w:rsidR="00BF7EE9" w:rsidRPr="00AA2752" w:rsidRDefault="00860FA2" w:rsidP="00622C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275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AA275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622CF7" w:rsidRPr="00AA2752">
              <w:rPr>
                <w:rFonts w:ascii="Arial" w:hAnsi="Arial" w:cs="Arial"/>
                <w:sz w:val="20"/>
                <w:szCs w:val="20"/>
              </w:rPr>
              <w:t>20 Days subject to service increase, plus 8 bank holidays and 6 College closure days.</w:t>
            </w:r>
          </w:p>
          <w:p w14:paraId="2FD66AC0" w14:textId="6F0BFC2B" w:rsidR="00860FA2" w:rsidRPr="00AA275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A275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="00BA3225" w:rsidRPr="00AA275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622CF7" w:rsidRPr="00AA275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£34,735 per annum </w:t>
            </w:r>
          </w:p>
          <w:p w14:paraId="43CF42F6" w14:textId="1607E832" w:rsidR="00622CF7" w:rsidRPr="001A1EB0" w:rsidRDefault="00622CF7" w:rsidP="00622CF7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44E9DAF7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44A74452" w14:textId="77777777" w:rsidR="00FF03E4" w:rsidRDefault="00FF03E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4DF0320" w14:textId="7160BD86" w:rsidR="00360B75" w:rsidRDefault="00FF03E4" w:rsidP="00803A3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F03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The </w:t>
            </w:r>
            <w:r w:rsidR="009F3FB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High Needs </w:t>
            </w:r>
            <w:r w:rsidRPr="00FF03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Funding Lead is responsible for coordinating all aspects of High Needs funding </w:t>
            </w:r>
            <w:r w:rsidR="00C87C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and </w:t>
            </w:r>
            <w:r w:rsidR="00D21DA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Adult and Apprenticeships ALS income</w:t>
            </w:r>
            <w:r w:rsidRPr="00FF03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  <w:r w:rsidR="00343F4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This </w:t>
            </w:r>
            <w:r w:rsidR="00C87C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role </w:t>
            </w:r>
            <w:r w:rsidR="00343F4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will </w:t>
            </w:r>
            <w:r w:rsidR="00C87C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be</w:t>
            </w:r>
            <w:r w:rsidR="00343F4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responsible for ensuring data accuracy for all High Needs</w:t>
            </w:r>
            <w:r w:rsidR="00C87C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</w:t>
            </w:r>
            <w:r w:rsidR="00343F4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EHCPS </w:t>
            </w:r>
            <w:r w:rsidR="00C87C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to provide </w:t>
            </w:r>
            <w:r w:rsidR="003E56B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regular and </w:t>
            </w:r>
            <w:r w:rsidR="00C87C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accurate up to date data directly to the Head of SEND and Learning Support</w:t>
            </w:r>
            <w:r w:rsidR="00E426D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any required external meetings with the Local Authority (LA’s).</w:t>
            </w:r>
            <w:r w:rsidR="00803A3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Aswell as ensuring </w:t>
            </w:r>
            <w:r w:rsidR="00803A3E" w:rsidRPr="00FF03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that High Needs students receive the appropriate financial support and that their needs are accurately recorded on the Individual Learner Records (ILRs).</w:t>
            </w:r>
          </w:p>
          <w:p w14:paraId="400EC42D" w14:textId="77777777" w:rsidR="00360B75" w:rsidRDefault="00360B75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F4DBED5" w14:textId="40ADF4E8" w:rsidR="000645D2" w:rsidRDefault="00CE742C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This role will directly line manager Learning Support Administrators to ensure </w:t>
            </w:r>
            <w:r w:rsidR="00E426D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the effective delivery </w:t>
            </w:r>
            <w:r w:rsidR="00125FC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of the funding </w:t>
            </w:r>
            <w:r w:rsidR="00AE4A1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and EHCPs</w:t>
            </w:r>
            <w:r w:rsidR="006A50D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67A8975D" w14:textId="77777777" w:rsidR="00E860DF" w:rsidRDefault="00E860DF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AAB5A52" w14:textId="3EEE787E" w:rsidR="003E56B7" w:rsidRPr="00FF03E4" w:rsidRDefault="00FF03E4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F03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The High Needs Funding Lead will work closely with the </w:t>
            </w:r>
            <w:r w:rsidR="00803A3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Learning Support Manager</w:t>
            </w:r>
            <w:r w:rsidR="00417C0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</w:t>
            </w:r>
            <w:r w:rsidRPr="00FF03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Management Information System (MIS) team to ensure correct </w:t>
            </w:r>
            <w:r w:rsidR="00417C0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data accuracy, </w:t>
            </w:r>
            <w:r w:rsidRPr="00FF03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triggers for funding claims, conduct audits of High Needs provision, and manage the reporting and reconciliation of High Needs funding.</w:t>
            </w:r>
          </w:p>
          <w:p w14:paraId="7BDCEC7A" w14:textId="77777777" w:rsidR="00860FA2" w:rsidRPr="00860FA2" w:rsidRDefault="00860FA2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44E9DAF7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6DF434F3" w14:textId="77777777" w:rsidR="00BC57AD" w:rsidRDefault="00BC57A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D9C2A11" w14:textId="77777777" w:rsidR="00BC57AD" w:rsidRPr="00BC57AD" w:rsidRDefault="00BC57AD" w:rsidP="00BC57A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 Coordination of High Needs Funding</w:t>
            </w:r>
          </w:p>
          <w:p w14:paraId="5B06A278" w14:textId="2FD02018" w:rsidR="00BC57AD" w:rsidRDefault="00DA2E6E" w:rsidP="00BC57A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</w:t>
            </w:r>
            <w:r w:rsidR="00BC57AD"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anage the </w:t>
            </w:r>
            <w:r w:rsidR="00BC57AD"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Needs funding process</w:t>
            </w:r>
            <w:r w:rsidR="00BC57AD"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ensuring that students with </w:t>
            </w:r>
            <w:r w:rsidR="00BC57AD"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Needs</w:t>
            </w:r>
            <w:r w:rsidR="00BC57AD"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receive the correct funding allocations as per statutory and </w:t>
            </w:r>
            <w:r w:rsid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DCGs </w:t>
            </w:r>
            <w:r w:rsidR="00BC57AD"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guidelines.</w:t>
            </w:r>
          </w:p>
          <w:p w14:paraId="19A05ED2" w14:textId="2992531C" w:rsidR="00BC57AD" w:rsidRPr="00BC57AD" w:rsidRDefault="00BC57AD" w:rsidP="00BC57A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Manage a team of administrators who will process </w:t>
            </w:r>
            <w:r w:rsidR="006A50D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unding claims in readiness for the ILR returns</w:t>
            </w:r>
            <w:r w:rsidR="00C64A9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and all EHCP legal duties</w:t>
            </w:r>
            <w:r w:rsidR="00A4024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directly support the Learning Support Team.</w:t>
            </w:r>
          </w:p>
          <w:p w14:paraId="2893BCB2" w14:textId="77777777" w:rsidR="00BC57AD" w:rsidRPr="00BC57AD" w:rsidRDefault="00BC57AD" w:rsidP="00BC57A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closely with the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MIS team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that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Needs students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are properly identified and the correct information is captured in the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ILRs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for accurate funding claims.</w:t>
            </w:r>
          </w:p>
          <w:p w14:paraId="46BAD01B" w14:textId="77777777" w:rsidR="00BC57AD" w:rsidRPr="00BC57AD" w:rsidRDefault="00BC57AD" w:rsidP="00BC57A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Oversee the submission of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Needs funding claims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the relevant funding bodies, ensuring compliance with all deadlines and funding rules.</w:t>
            </w:r>
          </w:p>
          <w:p w14:paraId="07CE74AD" w14:textId="2072D793" w:rsidR="00BC57AD" w:rsidRDefault="00BC57AD" w:rsidP="00BC57A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that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Education, Health, and Care Plans (EHCPs)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are correctly used to trigger funding and that all associated documentation is accurate and </w:t>
            </w:r>
            <w:r w:rsidR="00622CF7"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up to date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0812BEA8" w14:textId="71542021" w:rsidR="00A4270B" w:rsidRPr="00BC57AD" w:rsidRDefault="00A4270B" w:rsidP="00BC57A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Oversee the submission of the Apprenticeship and Adult ALS claims to ensure </w:t>
            </w:r>
            <w:r w:rsidR="00BA212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targets met and support is in place.</w:t>
            </w:r>
          </w:p>
          <w:p w14:paraId="165ED4A9" w14:textId="77777777" w:rsidR="00BC57AD" w:rsidRPr="00BC57AD" w:rsidRDefault="00BC57AD" w:rsidP="00BC57A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 Collaboration with Stakeholders</w:t>
            </w:r>
          </w:p>
          <w:p w14:paraId="5E112534" w14:textId="77777777" w:rsidR="00BC57AD" w:rsidRPr="00BC57AD" w:rsidRDefault="00BC57AD" w:rsidP="00BC57A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Liaise with external bodies such as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Local Authorities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SEND teams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and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funding agencies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the accurate processing of claims and the effective use of High Needs funding.</w:t>
            </w:r>
          </w:p>
          <w:p w14:paraId="52CD356C" w14:textId="77777777" w:rsidR="00BC57AD" w:rsidRPr="00BC57AD" w:rsidRDefault="00BC57AD" w:rsidP="00BC57A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Provide guidance to staff on the eligibility and application process for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Needs funding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that all relevant staff are informed and compliant with policies and procedures.</w:t>
            </w:r>
          </w:p>
          <w:p w14:paraId="258761E7" w14:textId="77777777" w:rsidR="00BC57AD" w:rsidRPr="00BC57AD" w:rsidRDefault="00BC57AD" w:rsidP="00BC57A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 MIS and ILR Management</w:t>
            </w:r>
          </w:p>
          <w:p w14:paraId="55C3A373" w14:textId="77777777" w:rsidR="00BC57AD" w:rsidRPr="00BC57AD" w:rsidRDefault="00BC57AD" w:rsidP="00BC57A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that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Needs students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are correctly recorded on the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ILRs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accordance with funding rules, ensuring that any triggers for funding are accurately applied and reported.</w:t>
            </w:r>
          </w:p>
          <w:p w14:paraId="4D624606" w14:textId="4AA70667" w:rsidR="00BC57AD" w:rsidRPr="00BC57AD" w:rsidRDefault="00BC57AD" w:rsidP="00BC57A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with the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MIS team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resolve any issues related to ILR submissions and ensure that data related to High Needs students is accurate and </w:t>
            </w:r>
            <w:r w:rsidR="00622CF7"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up to date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4E252673" w14:textId="77777777" w:rsidR="00BC57AD" w:rsidRPr="00BC57AD" w:rsidRDefault="00BC57AD" w:rsidP="00BC57A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Coordinate the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verification and correction of ILR data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addressing any discrepancies and ensuring funding claims reflect actual student support needs.</w:t>
            </w:r>
          </w:p>
          <w:p w14:paraId="0240F48E" w14:textId="77777777" w:rsidR="00BC57AD" w:rsidRPr="00BC57AD" w:rsidRDefault="00BC57AD" w:rsidP="00BC57A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4. Auditing and Compliance</w:t>
            </w:r>
          </w:p>
          <w:p w14:paraId="10F298D9" w14:textId="77777777" w:rsidR="00BC57AD" w:rsidRPr="00BC57AD" w:rsidRDefault="00BC57AD" w:rsidP="00BC57A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Conduct regular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audits of High Needs funding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related records to ensure compliance with internal policies, funding requirements, and external regulations.</w:t>
            </w:r>
          </w:p>
          <w:p w14:paraId="45DE6538" w14:textId="77777777" w:rsidR="00BC57AD" w:rsidRPr="00BC57AD" w:rsidRDefault="00BC57AD" w:rsidP="00BC57A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records of High Needs funding are accurate, complete, and readily available for internal and external audits.</w:t>
            </w:r>
          </w:p>
          <w:p w14:paraId="7FDE0283" w14:textId="77777777" w:rsidR="00BC57AD" w:rsidRPr="00BC57AD" w:rsidRDefault="00BC57AD" w:rsidP="00BC57A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the preparation of reports for external audits or inspections, ensuring all necessary documentation and data are provided to meet compliance standards.</w:t>
            </w:r>
          </w:p>
          <w:p w14:paraId="03134E62" w14:textId="77777777" w:rsidR="00BC57AD" w:rsidRPr="00BC57AD" w:rsidRDefault="00BC57AD" w:rsidP="00BC57A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 Reporting and Monitoring</w:t>
            </w:r>
          </w:p>
          <w:p w14:paraId="16B2C392" w14:textId="77777777" w:rsidR="00BC57AD" w:rsidRPr="00BC57AD" w:rsidRDefault="00BC57AD" w:rsidP="00BC57A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Develop and maintain a system for tracking and reporting on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Needs funding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claims, ensuring transparency, accountability, and timely reporting.</w:t>
            </w:r>
          </w:p>
          <w:p w14:paraId="630573D5" w14:textId="6F81F08B" w:rsidR="00BC57AD" w:rsidRPr="00BC57AD" w:rsidRDefault="00BC57AD" w:rsidP="00BC57A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Provide regular updates to </w:t>
            </w:r>
            <w:r w:rsidR="00597A4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the Head of SEND and Vice Principal on High Needs claims, Adult and Apprenticeship income targe</w:t>
            </w:r>
            <w:r w:rsidR="00B0280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ts</w:t>
            </w:r>
          </w:p>
          <w:p w14:paraId="6339A145" w14:textId="77777777" w:rsidR="00BC57AD" w:rsidRPr="00BC57AD" w:rsidRDefault="00BC57AD" w:rsidP="00BC57A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Prepare financial reports and contribute to budget planning, ensuring the efficient and appropriate use of High Needs funding within the college.</w:t>
            </w:r>
          </w:p>
          <w:p w14:paraId="34ECCDAD" w14:textId="77777777" w:rsidR="00BC57AD" w:rsidRPr="00BC57AD" w:rsidRDefault="00BC57AD" w:rsidP="00BC57A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 Training and Support</w:t>
            </w:r>
          </w:p>
          <w:p w14:paraId="7B9B381E" w14:textId="77777777" w:rsidR="00BC57AD" w:rsidRPr="00BC57AD" w:rsidRDefault="00BC57AD" w:rsidP="00BC57A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Provide training to staff involved in the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Needs funding process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they understand their roles in accurately recording and claiming funding.</w:t>
            </w:r>
          </w:p>
          <w:p w14:paraId="75E71526" w14:textId="77B70410" w:rsidR="00565820" w:rsidRPr="00EF21C6" w:rsidRDefault="00BC57AD" w:rsidP="00FC7A84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Support the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</w:t>
            </w:r>
            <w:r w:rsidRPr="00BC57A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Inclusion teams</w:t>
            </w:r>
            <w:r w:rsidRPr="00BC57A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understanding the High Needs funding mechanisms and how to access support for students with additional needs.</w:t>
            </w: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44E9DAF7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44E9DAF7">
        <w:tc>
          <w:tcPr>
            <w:tcW w:w="10349" w:type="dxa"/>
          </w:tcPr>
          <w:p w14:paraId="7B719BF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1C27941D" w14:textId="77777777" w:rsidR="00B21864" w:rsidRDefault="00B2186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F4D7F09" w14:textId="086F0AA9" w:rsidR="00B21864" w:rsidRDefault="00B21864" w:rsidP="00B2186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2186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</w:t>
            </w:r>
            <w:r w:rsidR="0076425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</w:t>
            </w:r>
          </w:p>
          <w:p w14:paraId="611AE083" w14:textId="2E28D898" w:rsidR="002736F4" w:rsidRDefault="00B02801" w:rsidP="00B0280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Extensive experience managing High Needs Funding </w:t>
            </w:r>
          </w:p>
          <w:p w14:paraId="54BA3FFF" w14:textId="0B90A1B2" w:rsidR="00F638F3" w:rsidRDefault="00F638F3" w:rsidP="00B0280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Eye for detail and effective report writing during audit and compliance checks</w:t>
            </w:r>
          </w:p>
          <w:p w14:paraId="41E88E5E" w14:textId="3B90A431" w:rsidR="007C66A2" w:rsidRDefault="007C66A2" w:rsidP="008D0D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manage workload effectively and deploy resource to ensure income targets are met and High Needs claims are adhered to.</w:t>
            </w:r>
          </w:p>
          <w:p w14:paraId="5C0103C1" w14:textId="4E62AB48" w:rsidR="008D0D73" w:rsidRPr="008D0D73" w:rsidRDefault="008D0D73" w:rsidP="008D0D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Demonstrate excellent ana</w:t>
            </w:r>
            <w:r w:rsidR="00E4425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lytical skills in a financial content</w:t>
            </w:r>
          </w:p>
          <w:p w14:paraId="6D4A138E" w14:textId="77777777" w:rsidR="00B21864" w:rsidRPr="00233E04" w:rsidRDefault="00B21864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44E9DAF7">
        <w:tc>
          <w:tcPr>
            <w:tcW w:w="10349" w:type="dxa"/>
          </w:tcPr>
          <w:p w14:paraId="38D7730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3A4D8C6A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2FD6DF2" w14:textId="3214407E" w:rsidR="007C66A2" w:rsidRPr="00680D50" w:rsidRDefault="00680D50" w:rsidP="007C66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Strong understanding of the Funding rules (High Needs, Adult and Apprenticeships)</w:t>
            </w:r>
          </w:p>
          <w:p w14:paraId="310F2226" w14:textId="73E24659" w:rsidR="00680D50" w:rsidRPr="0005183C" w:rsidRDefault="00AE7DBF" w:rsidP="007C66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5183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Proven experience of conducting internal audits and making recommendations to solve problems</w:t>
            </w:r>
          </w:p>
          <w:p w14:paraId="187614C7" w14:textId="1954B422" w:rsidR="00700283" w:rsidRPr="0005183C" w:rsidRDefault="007F4930" w:rsidP="0070028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5183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working with external stakeholders (Local Authorities</w:t>
            </w:r>
            <w:r w:rsidR="00700283" w:rsidRPr="0005183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SEND teams)</w:t>
            </w:r>
          </w:p>
          <w:p w14:paraId="4DC022F6" w14:textId="3A7D6190" w:rsidR="00700283" w:rsidRPr="0005183C" w:rsidRDefault="00700283" w:rsidP="0070028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5183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with data management systems and reporting tools</w:t>
            </w:r>
          </w:p>
          <w:p w14:paraId="7AB06550" w14:textId="0490A7F1" w:rsidR="0005183C" w:rsidRPr="0005183C" w:rsidRDefault="0005183C" w:rsidP="44E9DAF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4E9DAF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Experience of financial budgeting and reporting</w:t>
            </w:r>
          </w:p>
          <w:p w14:paraId="569D65E3" w14:textId="0C5741A5" w:rsidR="0005183C" w:rsidRPr="0005183C" w:rsidRDefault="720FE04D" w:rsidP="44E9DAF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4E9DAF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Experience of managing a team</w:t>
            </w:r>
            <w:r w:rsidR="0005183C" w:rsidRPr="44E9DAF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18978D6" w14:textId="77777777" w:rsidR="00860FA2" w:rsidRPr="00233E04" w:rsidRDefault="00860FA2" w:rsidP="00D7243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44E9DAF7">
        <w:tc>
          <w:tcPr>
            <w:tcW w:w="10349" w:type="dxa"/>
          </w:tcPr>
          <w:p w14:paraId="0DA49669" w14:textId="77777777" w:rsidR="00860FA2" w:rsidRPr="00DB5B1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B5B11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DB5B1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DB5B1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B5B11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69D2CD92" w14:textId="5FA99C77" w:rsidR="001317CB" w:rsidRPr="00DB5B11" w:rsidRDefault="00E4425E" w:rsidP="00622C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B5B1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English and </w:t>
            </w:r>
            <w:r w:rsidR="008E69F0" w:rsidRPr="00DB5B1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DB5B1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aths L2</w:t>
            </w:r>
            <w:r w:rsidR="008E69F0" w:rsidRPr="00DB5B1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 GCSE 4/C.</w:t>
            </w:r>
          </w:p>
          <w:p w14:paraId="3B35DAA4" w14:textId="23A9ED57" w:rsidR="008E69F0" w:rsidRPr="00622CF7" w:rsidRDefault="00DB5B11" w:rsidP="00622CF7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DB5B1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Business </w:t>
            </w:r>
            <w:r w:rsidR="008E69F0" w:rsidRPr="00DB5B1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Management qualification Level 3 or above</w:t>
            </w:r>
            <w:r w:rsidR="00F62257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, or equivalent.</w:t>
            </w:r>
          </w:p>
          <w:p w14:paraId="0C221D84" w14:textId="491795FB" w:rsidR="00622CF7" w:rsidRPr="00622CF7" w:rsidRDefault="00622CF7" w:rsidP="00622C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Style w:val="eop"/>
              </w:rPr>
            </w:pPr>
            <w:r w:rsidRPr="79C5F3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and competency in using software for reporting and analysing data, utilising data to make informed decisions.</w:t>
            </w:r>
          </w:p>
          <w:p w14:paraId="0F89CBDE" w14:textId="77777777" w:rsidR="00487FAD" w:rsidRPr="00DB5B11" w:rsidRDefault="00487FAD" w:rsidP="00487F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</w:p>
          <w:p w14:paraId="3392568B" w14:textId="0490CCDA" w:rsidR="00487FAD" w:rsidRPr="00DB5B11" w:rsidRDefault="00487FAD" w:rsidP="00487F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DB5B11">
              <w:rPr>
                <w:rStyle w:val="eop"/>
                <w:rFonts w:ascii="Arial" w:eastAsiaTheme="majorEastAsia" w:hAnsi="Arial" w:cs="Arial"/>
                <w:b/>
                <w:bCs/>
                <w:sz w:val="20"/>
                <w:szCs w:val="20"/>
              </w:rPr>
              <w:t>Desirable:</w:t>
            </w:r>
          </w:p>
          <w:p w14:paraId="685A7936" w14:textId="2884FDFF" w:rsidR="00487FAD" w:rsidRPr="00DB5B11" w:rsidRDefault="00487FAD" w:rsidP="00622CF7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B5B1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SEND specific qualification</w:t>
            </w:r>
            <w:r w:rsidR="00FD7303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or willing to work towards.</w:t>
            </w:r>
          </w:p>
          <w:p w14:paraId="3953C65B" w14:textId="4AABDB8B" w:rsidR="00E4425E" w:rsidRPr="008E69F0" w:rsidRDefault="00E4425E" w:rsidP="008E69F0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860FA2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AB11" w14:textId="77777777" w:rsidR="001000CA" w:rsidRDefault="001000CA" w:rsidP="00860FA2">
      <w:pPr>
        <w:spacing w:after="0" w:line="240" w:lineRule="auto"/>
      </w:pPr>
      <w:r>
        <w:separator/>
      </w:r>
    </w:p>
  </w:endnote>
  <w:endnote w:type="continuationSeparator" w:id="0">
    <w:p w14:paraId="32AF5CE3" w14:textId="77777777" w:rsidR="001000CA" w:rsidRDefault="001000CA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2CE90963" w:rsidR="001317CB" w:rsidRPr="001317CB" w:rsidRDefault="000D26EB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Funding Lead</w:t>
    </w:r>
    <w:r w:rsidR="005235C0">
      <w:rPr>
        <w:rFonts w:ascii="Calibri" w:hAnsi="Calibri" w:cs="Calibri"/>
      </w:rPr>
      <w:t xml:space="preserve"> </w:t>
    </w:r>
    <w:r w:rsidR="001317CB" w:rsidRPr="001317CB">
      <w:rPr>
        <w:rFonts w:ascii="Calibri" w:hAnsi="Calibri" w:cs="Calibri"/>
      </w:rPr>
      <w:t xml:space="preserve">– Job description – </w:t>
    </w:r>
    <w:r w:rsidR="0053407E">
      <w:rPr>
        <w:rFonts w:ascii="Calibri" w:hAnsi="Calibri" w:cs="Calibri"/>
      </w:rPr>
      <w:t>June</w:t>
    </w:r>
    <w:r w:rsidR="001317CB" w:rsidRPr="001317CB">
      <w:rPr>
        <w:rFonts w:ascii="Calibri" w:hAnsi="Calibri" w:cs="Calibri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DA1C" w14:textId="77777777" w:rsidR="001000CA" w:rsidRDefault="001000CA" w:rsidP="00860FA2">
      <w:pPr>
        <w:spacing w:after="0" w:line="240" w:lineRule="auto"/>
      </w:pPr>
      <w:r>
        <w:separator/>
      </w:r>
    </w:p>
  </w:footnote>
  <w:footnote w:type="continuationSeparator" w:id="0">
    <w:p w14:paraId="2F4C4E99" w14:textId="77777777" w:rsidR="001000CA" w:rsidRDefault="001000CA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057A"/>
    <w:multiLevelType w:val="hybridMultilevel"/>
    <w:tmpl w:val="85BAD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B09FD"/>
    <w:multiLevelType w:val="multilevel"/>
    <w:tmpl w:val="ACA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00A68"/>
    <w:multiLevelType w:val="multilevel"/>
    <w:tmpl w:val="D246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3681C"/>
    <w:multiLevelType w:val="hybridMultilevel"/>
    <w:tmpl w:val="932A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36450"/>
    <w:multiLevelType w:val="multilevel"/>
    <w:tmpl w:val="3E2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66F6B"/>
    <w:multiLevelType w:val="multilevel"/>
    <w:tmpl w:val="4E40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AB5548"/>
    <w:multiLevelType w:val="hybridMultilevel"/>
    <w:tmpl w:val="DEC0F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357FD"/>
    <w:multiLevelType w:val="hybridMultilevel"/>
    <w:tmpl w:val="87041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C3462"/>
    <w:multiLevelType w:val="multilevel"/>
    <w:tmpl w:val="AA9E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754B2"/>
    <w:multiLevelType w:val="multilevel"/>
    <w:tmpl w:val="F63A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C5629"/>
    <w:multiLevelType w:val="multilevel"/>
    <w:tmpl w:val="57F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B432B6"/>
    <w:multiLevelType w:val="hybridMultilevel"/>
    <w:tmpl w:val="3BDE0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57782"/>
    <w:multiLevelType w:val="multilevel"/>
    <w:tmpl w:val="0C4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6"/>
  </w:num>
  <w:num w:numId="2" w16cid:durableId="1931502979">
    <w:abstractNumId w:val="16"/>
  </w:num>
  <w:num w:numId="3" w16cid:durableId="214971447">
    <w:abstractNumId w:val="8"/>
  </w:num>
  <w:num w:numId="4" w16cid:durableId="1589147117">
    <w:abstractNumId w:val="25"/>
  </w:num>
  <w:num w:numId="5" w16cid:durableId="1406879001">
    <w:abstractNumId w:val="30"/>
  </w:num>
  <w:num w:numId="6" w16cid:durableId="191262082">
    <w:abstractNumId w:val="24"/>
  </w:num>
  <w:num w:numId="7" w16cid:durableId="1841384330">
    <w:abstractNumId w:val="4"/>
  </w:num>
  <w:num w:numId="8" w16cid:durableId="1635481095">
    <w:abstractNumId w:val="17"/>
  </w:num>
  <w:num w:numId="9" w16cid:durableId="1579175038">
    <w:abstractNumId w:val="26"/>
  </w:num>
  <w:num w:numId="10" w16cid:durableId="660741181">
    <w:abstractNumId w:val="0"/>
  </w:num>
  <w:num w:numId="11" w16cid:durableId="1881474564">
    <w:abstractNumId w:val="27"/>
  </w:num>
  <w:num w:numId="12" w16cid:durableId="1401054220">
    <w:abstractNumId w:val="36"/>
  </w:num>
  <w:num w:numId="13" w16cid:durableId="1120612949">
    <w:abstractNumId w:val="5"/>
  </w:num>
  <w:num w:numId="14" w16cid:durableId="337316808">
    <w:abstractNumId w:val="21"/>
  </w:num>
  <w:num w:numId="15" w16cid:durableId="1082528916">
    <w:abstractNumId w:val="14"/>
  </w:num>
  <w:num w:numId="16" w16cid:durableId="1016351813">
    <w:abstractNumId w:val="28"/>
  </w:num>
  <w:num w:numId="17" w16cid:durableId="302929308">
    <w:abstractNumId w:val="37"/>
  </w:num>
  <w:num w:numId="18" w16cid:durableId="628819608">
    <w:abstractNumId w:val="9"/>
  </w:num>
  <w:num w:numId="19" w16cid:durableId="1198471789">
    <w:abstractNumId w:val="19"/>
  </w:num>
  <w:num w:numId="20" w16cid:durableId="934947197">
    <w:abstractNumId w:val="34"/>
  </w:num>
  <w:num w:numId="21" w16cid:durableId="1364132019">
    <w:abstractNumId w:val="1"/>
  </w:num>
  <w:num w:numId="22" w16cid:durableId="1028331428">
    <w:abstractNumId w:val="12"/>
  </w:num>
  <w:num w:numId="23" w16cid:durableId="1158570733">
    <w:abstractNumId w:val="31"/>
  </w:num>
  <w:num w:numId="24" w16cid:durableId="1564876125">
    <w:abstractNumId w:val="20"/>
  </w:num>
  <w:num w:numId="25" w16cid:durableId="624847717">
    <w:abstractNumId w:val="11"/>
  </w:num>
  <w:num w:numId="26" w16cid:durableId="1466198967">
    <w:abstractNumId w:val="13"/>
  </w:num>
  <w:num w:numId="27" w16cid:durableId="1696497515">
    <w:abstractNumId w:val="3"/>
  </w:num>
  <w:num w:numId="28" w16cid:durableId="1562711523">
    <w:abstractNumId w:val="35"/>
  </w:num>
  <w:num w:numId="29" w16cid:durableId="1526678400">
    <w:abstractNumId w:val="29"/>
  </w:num>
  <w:num w:numId="30" w16cid:durableId="1807504429">
    <w:abstractNumId w:val="23"/>
  </w:num>
  <w:num w:numId="31" w16cid:durableId="1024139202">
    <w:abstractNumId w:val="7"/>
  </w:num>
  <w:num w:numId="32" w16cid:durableId="74475254">
    <w:abstractNumId w:val="18"/>
  </w:num>
  <w:num w:numId="33" w16cid:durableId="1041588625">
    <w:abstractNumId w:val="22"/>
  </w:num>
  <w:num w:numId="34" w16cid:durableId="283511581">
    <w:abstractNumId w:val="2"/>
  </w:num>
  <w:num w:numId="35" w16cid:durableId="85342894">
    <w:abstractNumId w:val="15"/>
  </w:num>
  <w:num w:numId="36" w16cid:durableId="1549368908">
    <w:abstractNumId w:val="32"/>
  </w:num>
  <w:num w:numId="37" w16cid:durableId="853154599">
    <w:abstractNumId w:val="33"/>
  </w:num>
  <w:num w:numId="38" w16cid:durableId="1973050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362C"/>
    <w:rsid w:val="00026FD7"/>
    <w:rsid w:val="0005183C"/>
    <w:rsid w:val="00057E8E"/>
    <w:rsid w:val="00060B42"/>
    <w:rsid w:val="000645D2"/>
    <w:rsid w:val="00084788"/>
    <w:rsid w:val="00087ECA"/>
    <w:rsid w:val="000A05C5"/>
    <w:rsid w:val="000B56C8"/>
    <w:rsid w:val="000C7DE9"/>
    <w:rsid w:val="000D26EB"/>
    <w:rsid w:val="000D4B31"/>
    <w:rsid w:val="001000CA"/>
    <w:rsid w:val="00125FC1"/>
    <w:rsid w:val="001317CB"/>
    <w:rsid w:val="00155CFD"/>
    <w:rsid w:val="001936B5"/>
    <w:rsid w:val="001A10A1"/>
    <w:rsid w:val="001A1EB0"/>
    <w:rsid w:val="001C2DBA"/>
    <w:rsid w:val="001C392A"/>
    <w:rsid w:val="001D1E01"/>
    <w:rsid w:val="001E423B"/>
    <w:rsid w:val="002012E3"/>
    <w:rsid w:val="002138DF"/>
    <w:rsid w:val="002176BA"/>
    <w:rsid w:val="002239AC"/>
    <w:rsid w:val="002246E2"/>
    <w:rsid w:val="00233E04"/>
    <w:rsid w:val="0023454F"/>
    <w:rsid w:val="002578D9"/>
    <w:rsid w:val="002639BD"/>
    <w:rsid w:val="002736F4"/>
    <w:rsid w:val="00282E6F"/>
    <w:rsid w:val="00296385"/>
    <w:rsid w:val="002C149B"/>
    <w:rsid w:val="00305376"/>
    <w:rsid w:val="00307343"/>
    <w:rsid w:val="003337A4"/>
    <w:rsid w:val="00343F44"/>
    <w:rsid w:val="0035124D"/>
    <w:rsid w:val="00360B75"/>
    <w:rsid w:val="00382E89"/>
    <w:rsid w:val="00386A28"/>
    <w:rsid w:val="003E42A7"/>
    <w:rsid w:val="003E56B7"/>
    <w:rsid w:val="003F045D"/>
    <w:rsid w:val="00404C26"/>
    <w:rsid w:val="00417C03"/>
    <w:rsid w:val="0043588A"/>
    <w:rsid w:val="004401FB"/>
    <w:rsid w:val="00451688"/>
    <w:rsid w:val="00477CB9"/>
    <w:rsid w:val="00487FAD"/>
    <w:rsid w:val="004D5B18"/>
    <w:rsid w:val="00507513"/>
    <w:rsid w:val="005235C0"/>
    <w:rsid w:val="00533AC2"/>
    <w:rsid w:val="0053407E"/>
    <w:rsid w:val="005514E3"/>
    <w:rsid w:val="00565820"/>
    <w:rsid w:val="00574790"/>
    <w:rsid w:val="00594C7E"/>
    <w:rsid w:val="00597A4F"/>
    <w:rsid w:val="005B3A0A"/>
    <w:rsid w:val="005B58E2"/>
    <w:rsid w:val="005C6E7F"/>
    <w:rsid w:val="005D0581"/>
    <w:rsid w:val="005E37C9"/>
    <w:rsid w:val="00622CF7"/>
    <w:rsid w:val="00680D50"/>
    <w:rsid w:val="00687BCD"/>
    <w:rsid w:val="006914BB"/>
    <w:rsid w:val="006A087A"/>
    <w:rsid w:val="006A3AAD"/>
    <w:rsid w:val="006A50DF"/>
    <w:rsid w:val="006C0BCB"/>
    <w:rsid w:val="006C2A54"/>
    <w:rsid w:val="006D4030"/>
    <w:rsid w:val="00700283"/>
    <w:rsid w:val="0071085C"/>
    <w:rsid w:val="0074322D"/>
    <w:rsid w:val="00764256"/>
    <w:rsid w:val="00775B29"/>
    <w:rsid w:val="007A5697"/>
    <w:rsid w:val="007C66A2"/>
    <w:rsid w:val="007E670C"/>
    <w:rsid w:val="007F4930"/>
    <w:rsid w:val="007F750C"/>
    <w:rsid w:val="00803A3E"/>
    <w:rsid w:val="00860FA2"/>
    <w:rsid w:val="008743BF"/>
    <w:rsid w:val="008C7A20"/>
    <w:rsid w:val="008D0D73"/>
    <w:rsid w:val="008E69F0"/>
    <w:rsid w:val="008F5503"/>
    <w:rsid w:val="00911959"/>
    <w:rsid w:val="0096260E"/>
    <w:rsid w:val="009740B2"/>
    <w:rsid w:val="00981B4A"/>
    <w:rsid w:val="00984BB6"/>
    <w:rsid w:val="009B4F7C"/>
    <w:rsid w:val="009D5E2B"/>
    <w:rsid w:val="009D79EE"/>
    <w:rsid w:val="009F3FBE"/>
    <w:rsid w:val="009F5381"/>
    <w:rsid w:val="00A25BA4"/>
    <w:rsid w:val="00A37B17"/>
    <w:rsid w:val="00A4024A"/>
    <w:rsid w:val="00A4270B"/>
    <w:rsid w:val="00A44CC8"/>
    <w:rsid w:val="00A45D43"/>
    <w:rsid w:val="00A7269D"/>
    <w:rsid w:val="00A773C4"/>
    <w:rsid w:val="00A96BFD"/>
    <w:rsid w:val="00AA2752"/>
    <w:rsid w:val="00AD7F51"/>
    <w:rsid w:val="00AE4A18"/>
    <w:rsid w:val="00AE5584"/>
    <w:rsid w:val="00AE7DBF"/>
    <w:rsid w:val="00AF18F5"/>
    <w:rsid w:val="00AF7D41"/>
    <w:rsid w:val="00B02801"/>
    <w:rsid w:val="00B2106A"/>
    <w:rsid w:val="00B21864"/>
    <w:rsid w:val="00BA212B"/>
    <w:rsid w:val="00BA3225"/>
    <w:rsid w:val="00BB3A81"/>
    <w:rsid w:val="00BC57AD"/>
    <w:rsid w:val="00BC751C"/>
    <w:rsid w:val="00BF7EE9"/>
    <w:rsid w:val="00C27555"/>
    <w:rsid w:val="00C43317"/>
    <w:rsid w:val="00C470DD"/>
    <w:rsid w:val="00C64A9D"/>
    <w:rsid w:val="00C82F61"/>
    <w:rsid w:val="00C87C1C"/>
    <w:rsid w:val="00CC0806"/>
    <w:rsid w:val="00CC4B9B"/>
    <w:rsid w:val="00CE23AC"/>
    <w:rsid w:val="00CE742C"/>
    <w:rsid w:val="00D1208F"/>
    <w:rsid w:val="00D21DA5"/>
    <w:rsid w:val="00D524E1"/>
    <w:rsid w:val="00D623AA"/>
    <w:rsid w:val="00D72432"/>
    <w:rsid w:val="00D749FB"/>
    <w:rsid w:val="00DA2E6E"/>
    <w:rsid w:val="00DB5B11"/>
    <w:rsid w:val="00DD3E3D"/>
    <w:rsid w:val="00DF62C4"/>
    <w:rsid w:val="00E02562"/>
    <w:rsid w:val="00E07133"/>
    <w:rsid w:val="00E426DD"/>
    <w:rsid w:val="00E4425E"/>
    <w:rsid w:val="00E841AE"/>
    <w:rsid w:val="00E860DF"/>
    <w:rsid w:val="00EA3A0C"/>
    <w:rsid w:val="00EF21C6"/>
    <w:rsid w:val="00F166B0"/>
    <w:rsid w:val="00F3251F"/>
    <w:rsid w:val="00F5794B"/>
    <w:rsid w:val="00F62257"/>
    <w:rsid w:val="00F638F3"/>
    <w:rsid w:val="00F84695"/>
    <w:rsid w:val="00FA2BD6"/>
    <w:rsid w:val="00FB4083"/>
    <w:rsid w:val="00FC7A84"/>
    <w:rsid w:val="00FD7303"/>
    <w:rsid w:val="00FF03E4"/>
    <w:rsid w:val="44E9DAF7"/>
    <w:rsid w:val="61E79423"/>
    <w:rsid w:val="720FE04D"/>
    <w:rsid w:val="7A11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9975A888-1AF0-4C73-AF98-E421839A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  <w:style w:type="paragraph" w:customStyle="1" w:styleId="paragraph">
    <w:name w:val="paragraph"/>
    <w:basedOn w:val="Normal"/>
    <w:rsid w:val="008E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E69F0"/>
  </w:style>
  <w:style w:type="character" w:customStyle="1" w:styleId="eop">
    <w:name w:val="eop"/>
    <w:basedOn w:val="DefaultParagraphFont"/>
    <w:rsid w:val="008E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4</cp:revision>
  <dcterms:created xsi:type="dcterms:W3CDTF">2025-06-10T08:46:00Z</dcterms:created>
  <dcterms:modified xsi:type="dcterms:W3CDTF">2025-06-12T11:32:00Z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